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0AC" w14:textId="694EAA13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F67179">
        <w:rPr>
          <w:rFonts w:ascii="Calibri" w:eastAsia="Calibri" w:hAnsi="Calibri" w:cs="Calibri"/>
        </w:rPr>
        <w:t>1</w:t>
      </w:r>
      <w:r w:rsidR="004331A0">
        <w:rPr>
          <w:rFonts w:ascii="Calibri" w:eastAsia="Calibri" w:hAnsi="Calibri" w:cs="Calibri"/>
        </w:rPr>
        <w:t>4</w:t>
      </w:r>
      <w:r w:rsidRPr="001640D4">
        <w:rPr>
          <w:rFonts w:ascii="Calibri" w:eastAsia="Calibri" w:hAnsi="Calibri" w:cs="Calibri"/>
        </w:rPr>
        <w:t xml:space="preserve">/21 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1C27EC">
        <w:rPr>
          <w:rFonts w:ascii="Calibri" w:eastAsia="Calibri" w:hAnsi="Calibri" w:cs="Calibri"/>
        </w:rPr>
        <w:t>3 grudnia</w:t>
      </w:r>
      <w:r w:rsidRPr="001640D4">
        <w:rPr>
          <w:rFonts w:ascii="Calibri" w:eastAsia="Calibri" w:hAnsi="Calibri" w:cs="Calibri"/>
        </w:rPr>
        <w:t xml:space="preserve"> 2021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62DF5325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4331A0">
        <w:rPr>
          <w:b/>
          <w:sz w:val="32"/>
          <w:szCs w:val="32"/>
        </w:rPr>
        <w:t>urządzenia do chemisorpcji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4D101D29" w:rsidR="00F469DE" w:rsidRDefault="00FF1DB8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4B7004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05F36981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701BE26D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0A21525C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1EC42D66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30B11D81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5B2B5CD3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4F734E6E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0259371E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3A11E8B5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50CDCC31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058DC2C8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102EFFB4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0580AB4B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64CE88BE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2D7BC38B" w14:textId="33FEC12F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47FE6B22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7FC898A" w14:textId="4BBED10A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7E352675" w14:textId="5B67C212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58114E42" w14:textId="5FB8552E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091A749B" w:rsidR="00F469DE" w:rsidRDefault="004B7004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 strony internetowej postępowania: https://www.ik-pan.krakow.pl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282B6F8F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4331A0">
        <w:rPr>
          <w:b/>
          <w:sz w:val="22"/>
        </w:rPr>
        <w:t>urządzenia do chemisorpcji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1BAB9AEC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sz w:val="22"/>
        </w:rPr>
        <w:t xml:space="preserve">CPV: </w:t>
      </w:r>
      <w:r w:rsidR="00757243">
        <w:rPr>
          <w:sz w:val="22"/>
        </w:rPr>
        <w:t>38</w:t>
      </w:r>
      <w:r w:rsidR="00362798">
        <w:rPr>
          <w:sz w:val="22"/>
        </w:rPr>
        <w:t>434</w:t>
      </w:r>
      <w:r w:rsidR="00757243">
        <w:rPr>
          <w:sz w:val="22"/>
        </w:rPr>
        <w:t>000-3</w:t>
      </w:r>
      <w:r w:rsidRPr="00B950F6">
        <w:rPr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5255F1E6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757243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</w:t>
      </w:r>
      <w:r w:rsidR="00757243">
        <w:rPr>
          <w:sz w:val="22"/>
        </w:rPr>
        <w:t>ia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216323A8" w:rsidR="00A87A41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35BA84A" w14:textId="77777777" w:rsidR="00362798" w:rsidRPr="002A7F50" w:rsidRDefault="00362798" w:rsidP="00362798">
      <w:pPr>
        <w:pStyle w:val="Oli2"/>
        <w:spacing w:line="259" w:lineRule="auto"/>
        <w:ind w:left="1134"/>
        <w:jc w:val="both"/>
        <w:rPr>
          <w:sz w:val="22"/>
        </w:rPr>
      </w:pP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lastRenderedPageBreak/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4E1DD24E" w14:textId="77777777" w:rsidR="00346FF8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</w:p>
    <w:p w14:paraId="1E079E5E" w14:textId="75F21947" w:rsidR="00011268" w:rsidRPr="005B5D4B" w:rsidRDefault="00753882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5B5D4B">
        <w:rPr>
          <w:b/>
          <w:bCs/>
          <w:sz w:val="22"/>
        </w:rPr>
        <w:t xml:space="preserve">do </w:t>
      </w:r>
      <w:r w:rsidR="00757243">
        <w:rPr>
          <w:b/>
          <w:bCs/>
          <w:sz w:val="22"/>
        </w:rPr>
        <w:t xml:space="preserve">12 </w:t>
      </w:r>
      <w:r w:rsidR="001C27EC">
        <w:rPr>
          <w:b/>
          <w:bCs/>
          <w:sz w:val="22"/>
        </w:rPr>
        <w:t>tygodni</w:t>
      </w:r>
      <w:r w:rsidR="00346FF8" w:rsidRPr="005B5D4B">
        <w:rPr>
          <w:b/>
          <w:sz w:val="22"/>
        </w:rPr>
        <w:t xml:space="preserve"> od daty zawarcia umowy</w:t>
      </w:r>
      <w:r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 xml:space="preserve">wyniku </w:t>
            </w:r>
            <w:r w:rsidRPr="000A543F">
              <w:rPr>
                <w:rFonts w:cstheme="minorHAnsi"/>
              </w:rPr>
              <w:lastRenderedPageBreak/>
              <w:t>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lastRenderedPageBreak/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6,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lastRenderedPageBreak/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6AA71860" w:rsidR="00131336" w:rsidRPr="00F017B7" w:rsidRDefault="00131336" w:rsidP="008A631D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8A631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F017B7" w:rsidRPr="00F017B7">
        <w:rPr>
          <w:rFonts w:asciiTheme="minorHAnsi" w:hAnsiTheme="minorHAnsi" w:cstheme="minorHAnsi"/>
          <w:b/>
          <w:color w:val="auto"/>
          <w:sz w:val="22"/>
          <w:szCs w:val="22"/>
        </w:rPr>
        <w:t>23f4fc3d-743a-4da8-8009-7ad69f0c841f</w:t>
      </w:r>
      <w:r w:rsidR="0034550C" w:rsidRPr="00F017B7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sporządzenia i przekazywania informacji oraz wymagań technicznych dla dokumentów elektronicznych oraz środków komunikacji elektronicznej musi być zgody z wymaganiami określonymi w rozporzą</w:t>
      </w:r>
      <w:r w:rsidR="001C59E5" w:rsidRPr="00446050">
        <w:rPr>
          <w:rFonts w:asciiTheme="minorHAnsi" w:hAnsiTheme="minorHAnsi" w:cstheme="minorHAnsi"/>
          <w:color w:val="auto"/>
          <w:sz w:val="22"/>
          <w:szCs w:val="22"/>
        </w:rPr>
        <w:t>dzeniu Prezesa Rady Ministrów z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dnia 30 grudnia 2020 r. (Dz. U. poz.2452).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lastRenderedPageBreak/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4C5E37B4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może złożyć tylko jedną ofertę na realizację całości</w:t>
      </w:r>
      <w:r w:rsidR="00EA32E1" w:rsidRPr="00446050">
        <w:rPr>
          <w:sz w:val="22"/>
        </w:rPr>
        <w:t xml:space="preserve"> lub części</w:t>
      </w:r>
      <w:r w:rsidRPr="00446050">
        <w:rPr>
          <w:sz w:val="22"/>
        </w:rPr>
        <w:t xml:space="preserve"> przedmiotu zamówienia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 formie w elektronicznej tj. opatrzonej elektronicznym podpisem kwalifikowanym lub w postaci elektronicznej opatrzonej podpisem zaufanym lub podpisem osobistym</w:t>
      </w:r>
      <w:r w:rsidR="00E72F7F" w:rsidRPr="00446050">
        <w:rPr>
          <w:sz w:val="22"/>
        </w:rPr>
        <w:t xml:space="preserve"> osoby uprawnionej do reprezentowania Wykonawcy</w:t>
      </w:r>
      <w:r w:rsidRPr="00446050">
        <w:rPr>
          <w:sz w:val="22"/>
        </w:rPr>
        <w:t>.</w:t>
      </w:r>
    </w:p>
    <w:p w14:paraId="558BC10B" w14:textId="77777777" w:rsidR="00D73CEB" w:rsidRPr="00446050" w:rsidRDefault="00AC4FB8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Wykonawca zobowiązany jest do wskazania w treści oferty </w:t>
      </w:r>
      <w:r w:rsidR="002B1437" w:rsidRPr="00446050">
        <w:rPr>
          <w:sz w:val="22"/>
        </w:rPr>
        <w:t>dostępu do właściwych dokumentów rejestrowych, z któr</w:t>
      </w:r>
      <w:r w:rsidR="009673CE" w:rsidRPr="00446050">
        <w:rPr>
          <w:sz w:val="22"/>
        </w:rPr>
        <w:t>ych Zamawiający może uzyskać za </w:t>
      </w:r>
      <w:r w:rsidR="002B1437" w:rsidRPr="00446050">
        <w:rPr>
          <w:sz w:val="22"/>
        </w:rPr>
        <w:t xml:space="preserve">pomocą bezpłatnych i ogólnodostępnych baz danych </w:t>
      </w:r>
      <w:r w:rsidRPr="00446050">
        <w:rPr>
          <w:sz w:val="22"/>
        </w:rPr>
        <w:t>właściwego rejestru</w:t>
      </w:r>
      <w:r w:rsidR="002B1437" w:rsidRPr="00446050">
        <w:rPr>
          <w:sz w:val="22"/>
        </w:rPr>
        <w:t xml:space="preserve"> infor</w:t>
      </w:r>
      <w:r w:rsidR="00B255D5" w:rsidRPr="00446050">
        <w:rPr>
          <w:sz w:val="22"/>
        </w:rPr>
        <w:t>macje o zasadach reprezentacji W</w:t>
      </w:r>
      <w:r w:rsidR="002B1437" w:rsidRPr="00446050">
        <w:rPr>
          <w:sz w:val="22"/>
        </w:rPr>
        <w:t>ykonawcy.</w:t>
      </w:r>
    </w:p>
    <w:p w14:paraId="6D7995DD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 przypadku, gdy upoważnienie do reprezentowania Wykona</w:t>
      </w:r>
      <w:r w:rsidR="009673CE" w:rsidRPr="00446050">
        <w:rPr>
          <w:sz w:val="22"/>
        </w:rPr>
        <w:t>wcy nie wynika z </w:t>
      </w:r>
      <w:r w:rsidRPr="00446050">
        <w:rPr>
          <w:sz w:val="22"/>
        </w:rPr>
        <w:t>dokumentów, o których mowa w ust. 2, upoważnienie musi bezpośrednio wynikać z dokumentów dołączonych do oferty, np. z pełnomocnictwa, umowy konsorcjum lub umowy spółki cywilnej.</w:t>
      </w:r>
    </w:p>
    <w:p w14:paraId="6C773B70" w14:textId="77777777" w:rsidR="00D73CEB" w:rsidRPr="00446050" w:rsidRDefault="00B255D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</w:t>
      </w:r>
      <w:r w:rsidR="009673CE" w:rsidRPr="00446050">
        <w:rPr>
          <w:sz w:val="22"/>
        </w:rPr>
        <w:t>osownie do art. 97 § 2 ustawy z </w:t>
      </w:r>
      <w:r w:rsidRPr="00446050">
        <w:rPr>
          <w:sz w:val="22"/>
        </w:rPr>
        <w:t xml:space="preserve">dnia 14 lutego 1991 r.  - Prawo  o notariacie (Dz. U. 2020 poz. 1192 z </w:t>
      </w:r>
      <w:proofErr w:type="spellStart"/>
      <w:r w:rsidRPr="00446050">
        <w:rPr>
          <w:sz w:val="22"/>
        </w:rPr>
        <w:t>późn</w:t>
      </w:r>
      <w:proofErr w:type="spellEnd"/>
      <w:r w:rsidRPr="00446050">
        <w:rPr>
          <w:sz w:val="22"/>
        </w:rPr>
        <w:t xml:space="preserve"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  <w:r w:rsidR="00A62B85" w:rsidRPr="00446050">
        <w:rPr>
          <w:sz w:val="22"/>
        </w:rPr>
        <w:t>W</w:t>
      </w:r>
      <w:r w:rsidR="00B01437" w:rsidRPr="00446050">
        <w:rPr>
          <w:sz w:val="22"/>
        </w:rPr>
        <w:t xml:space="preserve">raz </w:t>
      </w:r>
      <w:r w:rsidR="009673CE" w:rsidRPr="00446050">
        <w:rPr>
          <w:sz w:val="22"/>
        </w:rPr>
        <w:t>z </w:t>
      </w:r>
      <w:r w:rsidR="00A62B85" w:rsidRPr="00446050">
        <w:rPr>
          <w:sz w:val="22"/>
        </w:rPr>
        <w:t>pełnomocnictwem powinien być złożony dokument potwierdzający możliwość udzielania pełnomocnictwa</w:t>
      </w:r>
      <w:r w:rsidRPr="00446050">
        <w:rPr>
          <w:sz w:val="22"/>
        </w:rPr>
        <w:t xml:space="preserve">, z zastrzeżeniem </w:t>
      </w:r>
      <w:r w:rsidR="00EA32E1" w:rsidRPr="00446050">
        <w:rPr>
          <w:sz w:val="22"/>
        </w:rPr>
        <w:t>pkt. 12.2</w:t>
      </w:r>
      <w:r w:rsidR="00A62B85" w:rsidRPr="00446050">
        <w:rPr>
          <w:sz w:val="22"/>
        </w:rPr>
        <w:t xml:space="preserve">. Pełnomocnictwa sporządzone w języku obcym Wykonawca składa wraz </w:t>
      </w:r>
      <w:r w:rsidR="009673CE" w:rsidRPr="00446050">
        <w:rPr>
          <w:sz w:val="22"/>
        </w:rPr>
        <w:t>z </w:t>
      </w:r>
      <w:r w:rsidR="00D73CEB" w:rsidRPr="00446050">
        <w:rPr>
          <w:sz w:val="22"/>
        </w:rPr>
        <w:t>tłumaczeniem na język polski.</w:t>
      </w:r>
    </w:p>
    <w:p w14:paraId="35303724" w14:textId="77777777" w:rsidR="00446050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składa ofertę za  pośrednictwem Formularza do złożenia, zmiany, wycofania oferty lu</w:t>
      </w:r>
      <w:r w:rsidR="00CB2D60" w:rsidRPr="00446050">
        <w:rPr>
          <w:sz w:val="22"/>
        </w:rPr>
        <w:t xml:space="preserve">b wniosku dostępnego na </w:t>
      </w:r>
      <w:proofErr w:type="spellStart"/>
      <w:r w:rsidR="00CB2D60" w:rsidRPr="00446050">
        <w:rPr>
          <w:sz w:val="22"/>
        </w:rPr>
        <w:t>ePUAP</w:t>
      </w:r>
      <w:proofErr w:type="spellEnd"/>
      <w:r w:rsidR="00CB2D60" w:rsidRPr="00446050">
        <w:rPr>
          <w:sz w:val="22"/>
        </w:rPr>
        <w:t xml:space="preserve"> i </w:t>
      </w:r>
      <w:r w:rsidRPr="00446050">
        <w:rPr>
          <w:sz w:val="22"/>
        </w:rPr>
        <w:t xml:space="preserve">udostępnionego również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</w:t>
      </w:r>
      <w:r w:rsidR="00E72F7F" w:rsidRPr="00446050">
        <w:rPr>
          <w:sz w:val="22"/>
        </w:rPr>
        <w:t>Za datę złożenia oferty przyjmuje się czas złożenia jej na s</w:t>
      </w:r>
      <w:r w:rsidR="00430ADA" w:rsidRPr="00446050">
        <w:rPr>
          <w:sz w:val="22"/>
        </w:rPr>
        <w:t xml:space="preserve">erwerze obsługującym </w:t>
      </w:r>
      <w:proofErr w:type="spellStart"/>
      <w:r w:rsidR="00430ADA" w:rsidRPr="00446050">
        <w:rPr>
          <w:sz w:val="22"/>
        </w:rPr>
        <w:t>miniPortal</w:t>
      </w:r>
      <w:proofErr w:type="spellEnd"/>
      <w:r w:rsidR="00430ADA" w:rsidRPr="00446050">
        <w:rPr>
          <w:sz w:val="22"/>
        </w:rPr>
        <w:t>.</w:t>
      </w:r>
      <w:r w:rsidR="00E72F7F" w:rsidRPr="00446050">
        <w:rPr>
          <w:sz w:val="22"/>
        </w:rPr>
        <w:t xml:space="preserve"> Zamawiający </w:t>
      </w:r>
      <w:r w:rsidR="00CB2D60" w:rsidRPr="00446050">
        <w:rPr>
          <w:sz w:val="22"/>
        </w:rPr>
        <w:t>zastrzega, iż złożenie oferty w</w:t>
      </w:r>
      <w:r w:rsidR="00C84CF0" w:rsidRPr="00446050">
        <w:rPr>
          <w:sz w:val="22"/>
        </w:rPr>
        <w:t> </w:t>
      </w:r>
      <w:r w:rsidR="00E72F7F" w:rsidRPr="00446050">
        <w:rPr>
          <w:sz w:val="22"/>
        </w:rPr>
        <w:t>innej formie elektronicznej będzie skutkowało odrzu</w:t>
      </w:r>
      <w:r w:rsidR="00C84CF0" w:rsidRPr="00446050">
        <w:rPr>
          <w:sz w:val="22"/>
        </w:rPr>
        <w:t>ceniem oferty na podstawie art. </w:t>
      </w:r>
      <w:r w:rsidR="00E72F7F" w:rsidRPr="00446050">
        <w:rPr>
          <w:sz w:val="22"/>
        </w:rPr>
        <w:t>2</w:t>
      </w:r>
      <w:r w:rsidR="00C84CF0" w:rsidRPr="00446050">
        <w:rPr>
          <w:sz w:val="22"/>
        </w:rPr>
        <w:t xml:space="preserve">26 ust. 1 pkt 6 ustawy </w:t>
      </w:r>
      <w:proofErr w:type="spellStart"/>
      <w:r w:rsidR="00C84CF0" w:rsidRPr="00446050">
        <w:rPr>
          <w:sz w:val="22"/>
        </w:rPr>
        <w:t>Pzp</w:t>
      </w:r>
      <w:proofErr w:type="spellEnd"/>
      <w:r w:rsidR="00E72F7F" w:rsidRPr="00446050">
        <w:rPr>
          <w:sz w:val="22"/>
        </w:rPr>
        <w:t>.</w:t>
      </w:r>
      <w:r w:rsidRPr="00446050">
        <w:rPr>
          <w:color w:val="FF0000"/>
          <w:sz w:val="22"/>
        </w:rPr>
        <w:t xml:space="preserve"> </w:t>
      </w:r>
      <w:r w:rsidRPr="00446050">
        <w:rPr>
          <w:sz w:val="22"/>
        </w:rPr>
        <w:t xml:space="preserve">W formularzu oferty Wykonawca zobowiązany jest podać adres skrzynki </w:t>
      </w:r>
      <w:proofErr w:type="spellStart"/>
      <w:r w:rsidRPr="00446050">
        <w:rPr>
          <w:sz w:val="22"/>
        </w:rPr>
        <w:t>ePUAP</w:t>
      </w:r>
      <w:proofErr w:type="spellEnd"/>
      <w:r w:rsidRPr="00446050">
        <w:rPr>
          <w:sz w:val="22"/>
        </w:rPr>
        <w:t>, na którym prowadzona będzie korespondencja związana z postępowaniem.</w:t>
      </w:r>
    </w:p>
    <w:p w14:paraId="15C038DF" w14:textId="77777777" w:rsidR="00D73CEB" w:rsidRPr="00446050" w:rsidRDefault="00E72F7F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Oferta wraz z załącznikami musi być </w:t>
      </w:r>
      <w:r w:rsidR="00C84CF0" w:rsidRPr="00446050">
        <w:rPr>
          <w:sz w:val="22"/>
        </w:rPr>
        <w:t>sporządzona w języku polskim, z </w:t>
      </w:r>
      <w:r w:rsidRPr="00446050">
        <w:rPr>
          <w:sz w:val="22"/>
        </w:rPr>
        <w:t xml:space="preserve">zachowaniem </w:t>
      </w:r>
      <w:r w:rsidR="00430ADA" w:rsidRPr="00446050">
        <w:rPr>
          <w:sz w:val="22"/>
        </w:rPr>
        <w:t xml:space="preserve">formy lub </w:t>
      </w:r>
      <w:r w:rsidRPr="00446050">
        <w:rPr>
          <w:sz w:val="22"/>
        </w:rPr>
        <w:t>postaci elektronicznej w formacie danych .pdf, .</w:t>
      </w:r>
      <w:proofErr w:type="spellStart"/>
      <w:r w:rsidRPr="00446050">
        <w:rPr>
          <w:sz w:val="22"/>
        </w:rPr>
        <w:t>doc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docx</w:t>
      </w:r>
      <w:proofErr w:type="spellEnd"/>
      <w:r w:rsidRPr="00446050">
        <w:rPr>
          <w:sz w:val="22"/>
        </w:rPr>
        <w:t>, .rtf,.</w:t>
      </w:r>
      <w:proofErr w:type="spellStart"/>
      <w:r w:rsidRPr="00446050">
        <w:rPr>
          <w:sz w:val="22"/>
        </w:rPr>
        <w:t>xps</w:t>
      </w:r>
      <w:proofErr w:type="spellEnd"/>
      <w:r w:rsidRPr="00446050">
        <w:rPr>
          <w:sz w:val="22"/>
        </w:rPr>
        <w:t>, .</w:t>
      </w:r>
      <w:proofErr w:type="spellStart"/>
      <w:r w:rsidRPr="00446050">
        <w:rPr>
          <w:sz w:val="22"/>
        </w:rPr>
        <w:t>odt</w:t>
      </w:r>
      <w:proofErr w:type="spellEnd"/>
      <w:r w:rsidRPr="00446050">
        <w:rPr>
          <w:sz w:val="22"/>
        </w:rPr>
        <w:t xml:space="preserve">  i podpisana w sposób opisany w SWZ. Sposób złożenia oferty, w tym zaszyfrowania (deszyfrowania) oferty opisany został w Regulaminie korzystania z </w:t>
      </w:r>
      <w:proofErr w:type="spellStart"/>
      <w:r w:rsidRPr="00446050">
        <w:rPr>
          <w:sz w:val="22"/>
        </w:rPr>
        <w:t>miniPortal</w:t>
      </w:r>
      <w:proofErr w:type="spellEnd"/>
      <w:r w:rsidRPr="00446050">
        <w:rPr>
          <w:sz w:val="22"/>
        </w:rPr>
        <w:t>. Ofertę należy złożyć w oryginale.</w:t>
      </w:r>
    </w:p>
    <w:p w14:paraId="0A527FD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Maksymalny rozmiar pliku przesyłanego</w:t>
      </w:r>
      <w:r w:rsidR="008B2C69" w:rsidRPr="00446050">
        <w:rPr>
          <w:sz w:val="22"/>
        </w:rPr>
        <w:t xml:space="preserve"> za pośrednictwem Formularza do </w:t>
      </w:r>
      <w:r w:rsidRPr="00446050">
        <w:rPr>
          <w:sz w:val="22"/>
        </w:rPr>
        <w:t>złożenia, zmiany, wycofania oferty lub wniosku wynosi 150 MB.</w:t>
      </w:r>
    </w:p>
    <w:p w14:paraId="19FFBAE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Wykonawca może przed upływem terminu do składania ofert zmienić lub wycofać ofertę za  pośrednictwem Formularza do złożenia, zmiany, wycofania oferty lub</w:t>
      </w:r>
      <w:r w:rsidR="008B2C69" w:rsidRPr="00446050">
        <w:rPr>
          <w:sz w:val="22"/>
        </w:rPr>
        <w:t xml:space="preserve"> wniosku dostępnego na  </w:t>
      </w:r>
      <w:proofErr w:type="spellStart"/>
      <w:r w:rsidR="008B2C69" w:rsidRPr="00446050">
        <w:rPr>
          <w:sz w:val="22"/>
        </w:rPr>
        <w:t>ePUAP</w:t>
      </w:r>
      <w:proofErr w:type="spellEnd"/>
      <w:r w:rsidR="008B2C69" w:rsidRPr="00446050">
        <w:rPr>
          <w:sz w:val="22"/>
        </w:rPr>
        <w:t xml:space="preserve"> i udostępnionych również na 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 xml:space="preserve">. Sposób zmiany i wycofania oferty został opisany w Instrukcji użytkownika dostępnej na </w:t>
      </w:r>
      <w:proofErr w:type="spellStart"/>
      <w:r w:rsidRPr="00446050">
        <w:rPr>
          <w:sz w:val="22"/>
        </w:rPr>
        <w:t>miniPortalu</w:t>
      </w:r>
      <w:proofErr w:type="spellEnd"/>
      <w:r w:rsidRPr="00446050">
        <w:rPr>
          <w:sz w:val="22"/>
        </w:rPr>
        <w:t>.</w:t>
      </w:r>
    </w:p>
    <w:p w14:paraId="02B2925B" w14:textId="77777777" w:rsidR="00D73CEB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 po upływie terminu do składania ofert nie może skutecznie dokonać zmiany ani wycofać złożonej oferty.</w:t>
      </w:r>
    </w:p>
    <w:p w14:paraId="17A55D64" w14:textId="77777777" w:rsidR="00B01437" w:rsidRPr="00446050" w:rsidRDefault="002D09EB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ujawni informacji stanowiący</w:t>
      </w:r>
      <w:r w:rsidR="008B2C69" w:rsidRPr="00446050">
        <w:rPr>
          <w:sz w:val="22"/>
        </w:rPr>
        <w:t>ch tajemnicę przedsiębiorstwa w </w:t>
      </w:r>
      <w:r w:rsidRPr="00446050">
        <w:rPr>
          <w:sz w:val="22"/>
        </w:rPr>
        <w:t>rozumieniu przepisów usta</w:t>
      </w:r>
      <w:r w:rsidR="008B2C69" w:rsidRPr="00446050">
        <w:rPr>
          <w:sz w:val="22"/>
        </w:rPr>
        <w:t>wy z dnia 16 kwietnia 1993 r. o </w:t>
      </w:r>
      <w:r w:rsidRPr="00446050">
        <w:rPr>
          <w:sz w:val="22"/>
        </w:rPr>
        <w:t xml:space="preserve">zwalczaniu nieuczciwej konkurencji (Dz. U. z 2019 </w:t>
      </w:r>
      <w:r w:rsidR="008B2C69" w:rsidRPr="00446050">
        <w:rPr>
          <w:sz w:val="22"/>
        </w:rPr>
        <w:t>r. poz. 1010 i 1649), jeżeli W</w:t>
      </w:r>
      <w:r w:rsidRPr="00446050">
        <w:rPr>
          <w:sz w:val="22"/>
        </w:rPr>
        <w:t xml:space="preserve">ykonawca, wraz z przekazaniem takich informacji, zastrzeże, że nie mogą być one udostępniane oraz wykaże, że zastrzeżone informacje stanowią tajemnicę przedsiębiorstwa. W tym celu Wykonawca musi złożyć oświadczenie zawierające wykaz </w:t>
      </w:r>
      <w:r w:rsidR="00344900" w:rsidRPr="00446050">
        <w:rPr>
          <w:sz w:val="22"/>
        </w:rPr>
        <w:t xml:space="preserve">zastrzeżonych dokumentów i wykazanie iż zastrzeżone informacje stanowią tajemnice przedsiębiorstwa.  Dokumenty opatrzone klauzulą: „Dokument zastrzeżony” winny być załączone łącznie z oświadczeniem i stanowić odrębne pliki zaszyfrowane wraz innymi plikami stanowiącymi ofertę. </w:t>
      </w:r>
      <w:r w:rsidR="00630033" w:rsidRPr="00446050">
        <w:rPr>
          <w:sz w:val="22"/>
        </w:rPr>
        <w:t xml:space="preserve"> </w:t>
      </w:r>
      <w:r w:rsidRPr="00446050">
        <w:rPr>
          <w:sz w:val="22"/>
        </w:rPr>
        <w:t>Wykonawca nie może zastrzec informacji, o których mowa w art. 222 ust. 5</w:t>
      </w:r>
      <w:r w:rsidR="00E536E7" w:rsidRPr="00446050">
        <w:rPr>
          <w:sz w:val="22"/>
        </w:rPr>
        <w:t xml:space="preserve"> ustawy </w:t>
      </w:r>
      <w:proofErr w:type="spellStart"/>
      <w:r w:rsidR="00E536E7" w:rsidRPr="00446050">
        <w:rPr>
          <w:sz w:val="22"/>
        </w:rPr>
        <w:t>Pzp</w:t>
      </w:r>
      <w:proofErr w:type="spellEnd"/>
      <w:r w:rsidRPr="00446050">
        <w:rPr>
          <w:sz w:val="22"/>
        </w:rPr>
        <w:t>.</w:t>
      </w:r>
    </w:p>
    <w:p w14:paraId="3DFC7EE0" w14:textId="77777777" w:rsidR="00925ECE" w:rsidRPr="00446050" w:rsidRDefault="00E43201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rFonts w:cstheme="minorHAnsi"/>
          <w:sz w:val="22"/>
        </w:rPr>
        <w:t>Oferta musi zawierać następujące dokumenty i oświadczenia</w:t>
      </w:r>
      <w:r w:rsidR="00925ECE" w:rsidRPr="00446050">
        <w:rPr>
          <w:rFonts w:cstheme="minorHAnsi"/>
          <w:sz w:val="22"/>
        </w:rPr>
        <w:t>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63C0AAC2" w:rsidR="00112D56" w:rsidRPr="001C27EC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1C27EC">
        <w:rPr>
          <w:b/>
          <w:bCs/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0DAB3D28" w14:textId="50DA4D30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77777777" w:rsidR="00AC1A6C" w:rsidRPr="0096747C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60%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5808CDFF" w:rsidR="00AC1A6C" w:rsidRPr="00446050" w:rsidRDefault="004A700E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553" w:type="dxa"/>
          </w:tcPr>
          <w:p w14:paraId="7B950343" w14:textId="253C1D3D" w:rsidR="00AC1A6C" w:rsidRPr="0096747C" w:rsidRDefault="004A700E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AC1A6C" w:rsidRPr="0096747C">
              <w:t>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F0F9C9F" w14:textId="3CAF2993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>Cena – maks. 60 pkt.</w:t>
            </w:r>
          </w:p>
          <w:p w14:paraId="5BA5947A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60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267254B9" w14:textId="50AF3A7A" w:rsidR="00AC1A6C" w:rsidRPr="005C54EB" w:rsidRDefault="00BA57F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 xml:space="preserve"> </w:t>
            </w:r>
            <w:r w:rsidR="004A700E">
              <w:rPr>
                <w:b/>
              </w:rPr>
              <w:t>Inne</w:t>
            </w:r>
            <w:r w:rsidR="005C54EB" w:rsidRPr="005C54EB">
              <w:rPr>
                <w:b/>
              </w:rPr>
              <w:t xml:space="preserve"> – maks. </w:t>
            </w:r>
            <w:r w:rsidR="004A700E">
              <w:rPr>
                <w:b/>
              </w:rPr>
              <w:t>40</w:t>
            </w:r>
            <w:r w:rsidR="005C54EB" w:rsidRPr="005C54EB">
              <w:rPr>
                <w:b/>
              </w:rPr>
              <w:t xml:space="preserve"> pkt.</w:t>
            </w:r>
          </w:p>
          <w:p w14:paraId="4A724A9B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1</w:t>
            </w:r>
            <w:r w:rsidRPr="00955368">
              <w:rPr>
                <w:bCs/>
                <w:color w:val="FF0000"/>
              </w:rPr>
              <w:t>.</w:t>
            </w:r>
            <w:r w:rsidRPr="00955368">
              <w:rPr>
                <w:bCs/>
                <w:color w:val="FF0000"/>
              </w:rPr>
              <w:tab/>
            </w:r>
            <w:r w:rsidRPr="00955368">
              <w:rPr>
                <w:bCs/>
              </w:rPr>
              <w:t xml:space="preserve">Pętle dozujące o pojemności 25 µL i 100 µL – </w:t>
            </w:r>
            <w:r w:rsidRPr="00955368">
              <w:rPr>
                <w:b/>
              </w:rPr>
              <w:t>3 pkt</w:t>
            </w:r>
          </w:p>
          <w:p w14:paraId="1DA50AE8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2.</w:t>
            </w:r>
            <w:r w:rsidRPr="00955368">
              <w:rPr>
                <w:bCs/>
              </w:rPr>
              <w:tab/>
              <w:t xml:space="preserve">Masowe regulatory przepływu w zakresie do 100 cm3 – </w:t>
            </w:r>
            <w:r w:rsidRPr="00955368">
              <w:rPr>
                <w:b/>
              </w:rPr>
              <w:t>8 pkt</w:t>
            </w:r>
          </w:p>
          <w:p w14:paraId="5FA01DA7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3.</w:t>
            </w:r>
            <w:r w:rsidRPr="00955368">
              <w:rPr>
                <w:bCs/>
              </w:rPr>
              <w:tab/>
              <w:t xml:space="preserve">System mocujący piec wykluczający konieczność jego demontażu przy pomiarze powierzchni BET – </w:t>
            </w:r>
            <w:r w:rsidRPr="00955368">
              <w:rPr>
                <w:b/>
              </w:rPr>
              <w:t>5 pkt</w:t>
            </w:r>
          </w:p>
          <w:p w14:paraId="1C9E726D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4.</w:t>
            </w:r>
            <w:r w:rsidRPr="00955368">
              <w:rPr>
                <w:bCs/>
              </w:rPr>
              <w:tab/>
              <w:t>Detektor TCD wyposażony w 4 żarniki (</w:t>
            </w:r>
            <w:proofErr w:type="spellStart"/>
            <w:r w:rsidRPr="00955368">
              <w:rPr>
                <w:bCs/>
              </w:rPr>
              <w:t>filamenty</w:t>
            </w:r>
            <w:proofErr w:type="spellEnd"/>
            <w:r w:rsidRPr="00955368">
              <w:rPr>
                <w:bCs/>
              </w:rPr>
              <w:t xml:space="preserve">) – </w:t>
            </w:r>
            <w:r w:rsidRPr="00955368">
              <w:rPr>
                <w:b/>
              </w:rPr>
              <w:t>12 pkt</w:t>
            </w:r>
          </w:p>
          <w:p w14:paraId="05988283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5.</w:t>
            </w:r>
            <w:r w:rsidRPr="00955368">
              <w:rPr>
                <w:bCs/>
              </w:rPr>
              <w:tab/>
              <w:t xml:space="preserve">Uszczelnienia odporne na działanie związków siarki (H2S, </w:t>
            </w:r>
            <w:proofErr w:type="spellStart"/>
            <w:r w:rsidRPr="00955368">
              <w:rPr>
                <w:bCs/>
              </w:rPr>
              <w:t>SOx</w:t>
            </w:r>
            <w:proofErr w:type="spellEnd"/>
            <w:r w:rsidRPr="00955368">
              <w:rPr>
                <w:bCs/>
              </w:rPr>
              <w:t xml:space="preserve">) – </w:t>
            </w:r>
            <w:r w:rsidRPr="00955368">
              <w:rPr>
                <w:b/>
              </w:rPr>
              <w:t>2 pkt</w:t>
            </w:r>
          </w:p>
          <w:p w14:paraId="46D396EF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6.</w:t>
            </w:r>
            <w:r w:rsidRPr="00955368">
              <w:rPr>
                <w:bCs/>
              </w:rPr>
              <w:tab/>
              <w:t xml:space="preserve">Przeprowadzenie dwudniowego szkolenia dla trzech osób w miejscu instalacji (siedzibie Zamawiającego) obejmującego w swym zakresie podstawę obsługi urządzenia i dołączonego do niego oprogramowania – </w:t>
            </w:r>
            <w:r w:rsidRPr="00955368">
              <w:rPr>
                <w:b/>
              </w:rPr>
              <w:t>4 pkt</w:t>
            </w:r>
          </w:p>
          <w:p w14:paraId="3E522345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7.</w:t>
            </w:r>
            <w:r w:rsidRPr="00955368">
              <w:rPr>
                <w:bCs/>
              </w:rPr>
              <w:tab/>
              <w:t xml:space="preserve">Czas reakcji serwisu do 24 godzin – </w:t>
            </w:r>
            <w:r w:rsidRPr="00955368">
              <w:rPr>
                <w:b/>
              </w:rPr>
              <w:t>2 pkt</w:t>
            </w:r>
          </w:p>
          <w:p w14:paraId="701FDCBD" w14:textId="77777777" w:rsidR="00955368" w:rsidRPr="00955368" w:rsidRDefault="00955368" w:rsidP="009553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55368">
              <w:rPr>
                <w:bCs/>
              </w:rPr>
              <w:t>8.</w:t>
            </w:r>
            <w:r w:rsidRPr="00955368">
              <w:rPr>
                <w:bCs/>
              </w:rPr>
              <w:tab/>
              <w:t xml:space="preserve">Gwarancja do 36 miesięcy – </w:t>
            </w:r>
            <w:r w:rsidRPr="00955368">
              <w:rPr>
                <w:b/>
              </w:rPr>
              <w:t>2 pkt</w:t>
            </w:r>
            <w:r w:rsidRPr="00955368">
              <w:rPr>
                <w:bCs/>
              </w:rPr>
              <w:t xml:space="preserve"> </w:t>
            </w:r>
          </w:p>
          <w:p w14:paraId="1290244B" w14:textId="1164343A" w:rsidR="005C54EB" w:rsidRPr="005C54EB" w:rsidRDefault="00955368" w:rsidP="00955368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55368">
              <w:rPr>
                <w:bCs/>
              </w:rPr>
              <w:t>9.</w:t>
            </w:r>
            <w:r w:rsidRPr="00955368">
              <w:rPr>
                <w:bCs/>
              </w:rPr>
              <w:tab/>
              <w:t xml:space="preserve">Bezpłatny przegląd aparatury na zakończenie gwarancji – </w:t>
            </w:r>
            <w:r w:rsidRPr="00955368">
              <w:rPr>
                <w:b/>
              </w:rPr>
              <w:t>2 pkt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36" w:name="_Toc64964344"/>
      <w:r w:rsidRPr="009D64B6">
        <w:t xml:space="preserve">Termin składania i </w:t>
      </w:r>
      <w:r w:rsidR="00FF3DBF" w:rsidRPr="009D64B6">
        <w:t>otwarcia ofert</w:t>
      </w:r>
      <w:bookmarkEnd w:id="36"/>
    </w:p>
    <w:p w14:paraId="423A9547" w14:textId="3BF1EB3E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bookmarkStart w:id="37" w:name="_Hlk87013023"/>
      <w:r w:rsidR="005C54E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027716">
        <w:rPr>
          <w:rFonts w:asciiTheme="minorHAnsi" w:hAnsiTheme="minorHAnsi" w:cstheme="minorHAnsi"/>
          <w:b/>
          <w:bCs/>
          <w:color w:val="auto"/>
          <w:sz w:val="22"/>
          <w:szCs w:val="22"/>
        </w:rPr>
        <w:t>3 grudnia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  <w:bookmarkEnd w:id="37"/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5E97CD0E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Otwarcie ofert nastąpi w dniu </w:t>
      </w:r>
      <w:r w:rsidR="005C54EB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027716">
        <w:rPr>
          <w:rFonts w:asciiTheme="minorHAnsi" w:hAnsiTheme="minorHAnsi" w:cstheme="minorHAnsi"/>
          <w:b/>
          <w:bCs/>
          <w:color w:val="auto"/>
          <w:sz w:val="22"/>
          <w:szCs w:val="22"/>
        </w:rPr>
        <w:t>3 grudnia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2021 r.</w:t>
      </w:r>
      <w:r w:rsidR="005C54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38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38"/>
    </w:p>
    <w:p w14:paraId="558A0C56" w14:textId="728ADF3B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9D3FC6">
        <w:rPr>
          <w:b/>
          <w:sz w:val="22"/>
        </w:rPr>
        <w:t>1</w:t>
      </w:r>
      <w:r w:rsidR="00027716">
        <w:rPr>
          <w:b/>
          <w:sz w:val="22"/>
        </w:rPr>
        <w:t>1 stycznia</w:t>
      </w:r>
      <w:r w:rsidR="00650488" w:rsidRPr="00650488">
        <w:rPr>
          <w:b/>
          <w:sz w:val="22"/>
        </w:rPr>
        <w:t xml:space="preserve"> 202</w:t>
      </w:r>
      <w:r w:rsidR="00027716">
        <w:rPr>
          <w:b/>
          <w:sz w:val="22"/>
        </w:rPr>
        <w:t>2</w:t>
      </w:r>
      <w:r w:rsidR="00650488" w:rsidRPr="00650488">
        <w:rPr>
          <w:b/>
          <w:sz w:val="22"/>
        </w:rPr>
        <w:t xml:space="preserve">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39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39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0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40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41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41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lastRenderedPageBreak/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42" w:name="_Toc64964349"/>
      <w:r w:rsidRPr="00635FF3">
        <w:t>P</w:t>
      </w:r>
      <w:r w:rsidR="00215D1A" w:rsidRPr="00635FF3">
        <w:t>ozostałe informacje</w:t>
      </w:r>
      <w:bookmarkEnd w:id="42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3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43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>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44" w:name="_Toc404593933"/>
      <w:bookmarkStart w:id="45" w:name="_Toc409696374"/>
      <w:bookmarkStart w:id="46" w:name="_Toc412463235"/>
      <w:bookmarkStart w:id="47" w:name="_Toc461176794"/>
      <w:bookmarkStart w:id="48" w:name="_Toc462133968"/>
      <w:bookmarkStart w:id="49" w:name="_Toc462142320"/>
      <w:bookmarkStart w:id="50" w:name="_Toc462728247"/>
      <w:bookmarkStart w:id="51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3F88AA4" w14:textId="56F80E7D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0550A363" w14:textId="0198B581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5A77D39A" w14:textId="41FDAE90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3C1E93AB" w14:textId="7C13DA4A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20AA3A8D" w14:textId="3D94FBD4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178DCE3B" w14:textId="362D7B96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09EAEE48" w14:textId="14C3E9E5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3AF0B056" w14:textId="77777777" w:rsidR="004B7004" w:rsidRDefault="004B7004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2" w:name="_Toc404593935"/>
            <w:bookmarkStart w:id="53" w:name="_Toc409696376"/>
            <w:bookmarkStart w:id="54" w:name="_Toc412537419"/>
            <w:bookmarkStart w:id="55" w:name="_Toc461176799"/>
            <w:bookmarkStart w:id="56" w:name="_Toc462133973"/>
            <w:bookmarkStart w:id="57" w:name="_Toc462142325"/>
            <w:bookmarkStart w:id="58" w:name="_Toc462728252"/>
            <w:bookmarkStart w:id="59" w:name="_Toc468279167"/>
            <w:r w:rsidRPr="00857A02">
              <w:t>Szczegółowy opis przedmiotu zamówienia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0" w:name="_Toc411234131"/>
            <w:bookmarkStart w:id="61" w:name="_Toc461176801"/>
            <w:bookmarkStart w:id="62" w:name="_Toc462133975"/>
            <w:bookmarkStart w:id="63" w:name="_Toc462142327"/>
            <w:bookmarkStart w:id="64" w:name="_Toc462728254"/>
            <w:bookmarkStart w:id="65" w:name="_Toc468279169"/>
            <w:r w:rsidRPr="00857A02">
              <w:t>Wzór formularza oferty</w:t>
            </w:r>
            <w:bookmarkEnd w:id="60"/>
            <w:bookmarkEnd w:id="61"/>
            <w:bookmarkEnd w:id="62"/>
            <w:bookmarkEnd w:id="63"/>
            <w:bookmarkEnd w:id="64"/>
            <w:bookmarkEnd w:id="65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6" w:name="_Toc404593936"/>
            <w:bookmarkStart w:id="67" w:name="_Toc409696377"/>
            <w:bookmarkStart w:id="68" w:name="_Toc411234133"/>
            <w:bookmarkStart w:id="69" w:name="_Toc461176803"/>
            <w:bookmarkStart w:id="70" w:name="_Toc462133977"/>
            <w:bookmarkStart w:id="71" w:name="_Toc462142329"/>
            <w:bookmarkStart w:id="72" w:name="_Toc462728256"/>
            <w:bookmarkStart w:id="73" w:name="_Toc468279171"/>
            <w:r w:rsidRPr="00857A02">
              <w:t>Wzór oświadczeni</w:t>
            </w:r>
            <w:bookmarkEnd w:id="66"/>
            <w:bookmarkEnd w:id="67"/>
            <w:bookmarkEnd w:id="68"/>
            <w:r w:rsidRPr="00857A02">
              <w:t>a w zakresie wskazanym przez Zamawiającego</w:t>
            </w:r>
            <w:bookmarkEnd w:id="69"/>
            <w:bookmarkEnd w:id="70"/>
            <w:bookmarkEnd w:id="71"/>
            <w:bookmarkEnd w:id="72"/>
            <w:bookmarkEnd w:id="73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4" w:name="_Toc404593939"/>
            <w:bookmarkStart w:id="75" w:name="_Toc409696380"/>
            <w:bookmarkStart w:id="76" w:name="_Toc411234141"/>
            <w:bookmarkStart w:id="77" w:name="_Toc461176805"/>
            <w:bookmarkStart w:id="78" w:name="_Toc462133979"/>
            <w:bookmarkStart w:id="79" w:name="_Toc462142331"/>
            <w:bookmarkStart w:id="80" w:name="_Toc462728258"/>
            <w:bookmarkStart w:id="81" w:name="_Toc468279173"/>
            <w:r w:rsidRPr="00857A02">
              <w:t>Istotne postanowienia umowy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  <w:tr w:rsidR="007F452F" w:rsidRPr="00857A02" w14:paraId="6146ABBC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98F676F" w14:textId="302AD639" w:rsidR="007F452F" w:rsidRPr="00857A02" w:rsidRDefault="007F452F" w:rsidP="00857A02">
            <w:pPr>
              <w:jc w:val="both"/>
            </w:pPr>
            <w:r>
              <w:t xml:space="preserve">5. </w:t>
            </w:r>
          </w:p>
        </w:tc>
        <w:tc>
          <w:tcPr>
            <w:tcW w:w="8216" w:type="dxa"/>
            <w:vAlign w:val="center"/>
          </w:tcPr>
          <w:p w14:paraId="6D7FF77F" w14:textId="6507D13B" w:rsidR="007F452F" w:rsidRPr="00857A02" w:rsidRDefault="007F452F" w:rsidP="00857A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Pr="007F452F">
              <w:t>obowiązanie podmiotu udostępniającego zasoby</w:t>
            </w:r>
            <w:r>
              <w:t xml:space="preserve"> – nie dotyczy</w:t>
            </w:r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486" w14:textId="2DBA83B9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1C7E" w14:textId="1B98BEDC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 w:rsidR="004331A0">
      <w:rPr>
        <w:sz w:val="24"/>
      </w:rPr>
      <w:t>urządzenia do chemisorpcji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5628"/>
    <w:multiLevelType w:val="hybridMultilevel"/>
    <w:tmpl w:val="BC2ED950"/>
    <w:lvl w:ilvl="0" w:tplc="4FAA7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6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27545"/>
    <w:rsid w:val="00027716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02A4"/>
    <w:rsid w:val="00131336"/>
    <w:rsid w:val="00144B49"/>
    <w:rsid w:val="001640D4"/>
    <w:rsid w:val="0017049E"/>
    <w:rsid w:val="00186CDE"/>
    <w:rsid w:val="00195E78"/>
    <w:rsid w:val="001B222D"/>
    <w:rsid w:val="001C27EC"/>
    <w:rsid w:val="001C59E5"/>
    <w:rsid w:val="001C683F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62798"/>
    <w:rsid w:val="00387F77"/>
    <w:rsid w:val="0039245C"/>
    <w:rsid w:val="003B24DA"/>
    <w:rsid w:val="003B2F74"/>
    <w:rsid w:val="003D4003"/>
    <w:rsid w:val="003D513C"/>
    <w:rsid w:val="003E15AB"/>
    <w:rsid w:val="003F2975"/>
    <w:rsid w:val="004004FF"/>
    <w:rsid w:val="0040342F"/>
    <w:rsid w:val="00403E2D"/>
    <w:rsid w:val="00413BF1"/>
    <w:rsid w:val="00423B96"/>
    <w:rsid w:val="00430ADA"/>
    <w:rsid w:val="004331A0"/>
    <w:rsid w:val="00436E8D"/>
    <w:rsid w:val="00440535"/>
    <w:rsid w:val="00443570"/>
    <w:rsid w:val="004459F8"/>
    <w:rsid w:val="00446050"/>
    <w:rsid w:val="0047133A"/>
    <w:rsid w:val="004723E1"/>
    <w:rsid w:val="00491674"/>
    <w:rsid w:val="00496A7A"/>
    <w:rsid w:val="004A2171"/>
    <w:rsid w:val="004A700E"/>
    <w:rsid w:val="004B7004"/>
    <w:rsid w:val="004C530E"/>
    <w:rsid w:val="004D5931"/>
    <w:rsid w:val="004F3A3E"/>
    <w:rsid w:val="004F4B77"/>
    <w:rsid w:val="0052792A"/>
    <w:rsid w:val="005309A8"/>
    <w:rsid w:val="00530D06"/>
    <w:rsid w:val="00535EA5"/>
    <w:rsid w:val="00552B1D"/>
    <w:rsid w:val="00554D33"/>
    <w:rsid w:val="00573292"/>
    <w:rsid w:val="00582F58"/>
    <w:rsid w:val="005B5D4B"/>
    <w:rsid w:val="005C0F07"/>
    <w:rsid w:val="005C54EB"/>
    <w:rsid w:val="005C7823"/>
    <w:rsid w:val="005E1867"/>
    <w:rsid w:val="005F1D77"/>
    <w:rsid w:val="006050ED"/>
    <w:rsid w:val="00615C30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73AAA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53882"/>
    <w:rsid w:val="00755FCB"/>
    <w:rsid w:val="00757243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4DD3"/>
    <w:rsid w:val="00887C06"/>
    <w:rsid w:val="008A631D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55368"/>
    <w:rsid w:val="009637C4"/>
    <w:rsid w:val="009673CE"/>
    <w:rsid w:val="0096747C"/>
    <w:rsid w:val="009713E8"/>
    <w:rsid w:val="00982733"/>
    <w:rsid w:val="00996B9B"/>
    <w:rsid w:val="009B2D85"/>
    <w:rsid w:val="009B7683"/>
    <w:rsid w:val="009C1425"/>
    <w:rsid w:val="009C278D"/>
    <w:rsid w:val="009D0F72"/>
    <w:rsid w:val="009D3FC6"/>
    <w:rsid w:val="009D64B6"/>
    <w:rsid w:val="009E11C0"/>
    <w:rsid w:val="009E58AE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509B"/>
    <w:rsid w:val="00A8307B"/>
    <w:rsid w:val="00A85CD8"/>
    <w:rsid w:val="00A87A41"/>
    <w:rsid w:val="00A96D72"/>
    <w:rsid w:val="00AA406B"/>
    <w:rsid w:val="00AB4890"/>
    <w:rsid w:val="00AC1A6C"/>
    <w:rsid w:val="00AC3261"/>
    <w:rsid w:val="00AC4FB8"/>
    <w:rsid w:val="00AD1809"/>
    <w:rsid w:val="00AD535D"/>
    <w:rsid w:val="00AD7F70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A57F3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E7E0F"/>
    <w:rsid w:val="00CF4F33"/>
    <w:rsid w:val="00CF7816"/>
    <w:rsid w:val="00D11D46"/>
    <w:rsid w:val="00D2611D"/>
    <w:rsid w:val="00D33C8A"/>
    <w:rsid w:val="00D44CFA"/>
    <w:rsid w:val="00D606B1"/>
    <w:rsid w:val="00D655C0"/>
    <w:rsid w:val="00D65BF2"/>
    <w:rsid w:val="00D70907"/>
    <w:rsid w:val="00D73CEB"/>
    <w:rsid w:val="00D75ED7"/>
    <w:rsid w:val="00D862F4"/>
    <w:rsid w:val="00D87799"/>
    <w:rsid w:val="00DA19B7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E6279"/>
    <w:rsid w:val="00EE7C04"/>
    <w:rsid w:val="00EF02DC"/>
    <w:rsid w:val="00EF0C7F"/>
    <w:rsid w:val="00EF40BC"/>
    <w:rsid w:val="00F017B7"/>
    <w:rsid w:val="00F02EE2"/>
    <w:rsid w:val="00F11924"/>
    <w:rsid w:val="00F162EB"/>
    <w:rsid w:val="00F31AE0"/>
    <w:rsid w:val="00F32264"/>
    <w:rsid w:val="00F414B7"/>
    <w:rsid w:val="00F469DE"/>
    <w:rsid w:val="00F52A43"/>
    <w:rsid w:val="00F57374"/>
    <w:rsid w:val="00F67179"/>
    <w:rsid w:val="00F74D79"/>
    <w:rsid w:val="00F819F1"/>
    <w:rsid w:val="00F81A53"/>
    <w:rsid w:val="00FA02C9"/>
    <w:rsid w:val="00FA47B4"/>
    <w:rsid w:val="00FC61AC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552B1D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4BE5-7A83-49E9-8F81-97A889E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14</Pages>
  <Words>4498</Words>
  <Characters>26993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16</cp:revision>
  <cp:lastPrinted>2021-03-12T14:10:00Z</cp:lastPrinted>
  <dcterms:created xsi:type="dcterms:W3CDTF">2021-11-05T12:59:00Z</dcterms:created>
  <dcterms:modified xsi:type="dcterms:W3CDTF">2021-12-03T13:14:00Z</dcterms:modified>
</cp:coreProperties>
</file>